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9axhqihki97a"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spacing w:after="200" w:line="276" w:lineRule="auto"/>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4">
      <w:pPr>
        <w:spacing w:after="200" w:line="276" w:lineRule="auto"/>
        <w:jc w:val="center"/>
        <w:rPr>
          <w:b w:val="1"/>
        </w:rPr>
      </w:pPr>
      <w:r w:rsidDel="00000000" w:rsidR="00000000" w:rsidRPr="00000000">
        <w:rPr>
          <w:b w:val="1"/>
          <w:rtl w:val="0"/>
        </w:rPr>
        <w:t xml:space="preserve">AND </w:t>
      </w:r>
    </w:p>
    <w:p w:rsidR="00000000" w:rsidDel="00000000" w:rsidP="00000000" w:rsidRDefault="00000000" w:rsidRPr="00000000" w14:paraId="00000005">
      <w:pPr>
        <w:spacing w:after="200" w:line="276" w:lineRule="auto"/>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0"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30j0zll" w:id="2"/>
      <w:bookmarkEnd w:id="2"/>
      <w:r w:rsidDel="00000000" w:rsidR="00000000" w:rsidRPr="00000000">
        <w:rPr>
          <w:b w:val="1"/>
          <w:smallCaps w:val="1"/>
          <w:color w:val="000000"/>
          <w:rtl w:val="0"/>
        </w:rPr>
        <w:t xml:space="preserve">CALL-OFF SCHEDULE 6 </w:t>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b w:val="1"/>
          <w:smallCaps w:val="1"/>
          <w:color w:val="000000"/>
          <w:rtl w:val="0"/>
        </w:rPr>
        <w:t xml:space="preserve">TUPE SURCHARGE</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tbl>
      <w:tblPr>
        <w:tblStyle w:val="Table1"/>
        <w:tblW w:w="90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70"/>
        <w:gridCol w:w="4560"/>
        <w:tblGridChange w:id="0">
          <w:tblGrid>
            <w:gridCol w:w="4470"/>
            <w:gridCol w:w="4560"/>
          </w:tblGrid>
        </w:tblGridChange>
      </w:tblGrid>
      <w:tr>
        <w:trPr>
          <w:cantSplit w:val="0"/>
          <w:tblHeader w:val="0"/>
        </w:trPr>
        <w:tc>
          <w:tcPr>
            <w:gridSpan w:val="2"/>
          </w:tcPr>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IN THIS SCHEDULE, THE FOLLOWING WORDS SHALL HAVE THE FOLLOWING MEANINGS AND THEY SHALL SUPPLEMENT (I) JOINT SCHEDULE 1 (DEFINITIONS) AND (II) CALL –OFF SCHEDULE 2 (STAFF TRANSFER):</w:t>
            </w:r>
          </w:p>
        </w:tc>
      </w:tr>
      <w:tr>
        <w:trPr>
          <w:cantSplit w:val="0"/>
          <w:tblHeader w:val="0"/>
        </w:trPr>
        <w:tc>
          <w:tcPr/>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DEFINITION</w:t>
            </w:r>
          </w:p>
        </w:tc>
        <w:tc>
          <w:tcPr/>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MEANING</w:t>
            </w:r>
          </w:p>
        </w:tc>
      </w:tr>
      <w:tr>
        <w:trPr>
          <w:cantSplit w:val="0"/>
          <w:tblHeader w:val="0"/>
        </w:trPr>
        <w:tc>
          <w:tcP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“Annual Pension Cost”</w:t>
            </w:r>
          </w:p>
        </w:tc>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Employer Pension Contributions, subject to the Employer Pension Contribution Cap;</w:t>
            </w:r>
          </w:p>
        </w:tc>
      </w:tr>
      <w:tr>
        <w:trPr>
          <w:cantSplit w:val="0"/>
          <w:tblHeader w:val="0"/>
        </w:trPr>
        <w:tc>
          <w:tcP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“Direct Award TUPE Risk Premium”</w:t>
            </w:r>
          </w:p>
        </w:tc>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bookmarkStart w:colFirst="0" w:colLast="0" w:name="_heading=h.1fob9te" w:id="3"/>
            <w:bookmarkEnd w:id="3"/>
            <w:r w:rsidDel="00000000" w:rsidR="00000000" w:rsidRPr="00000000">
              <w:rPr>
                <w:color w:val="000000"/>
                <w:sz w:val="20"/>
                <w:szCs w:val="20"/>
                <w:rtl w:val="0"/>
              </w:rPr>
              <w:t xml:space="preserve">means the % of the total price of the Deliverables as submitted by the Supplier within Framework Schedule 3 – Annex 1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“Cost of Change”</w:t>
            </w:r>
          </w:p>
        </w:tc>
        <w:tc>
          <w:tcP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sz w:val="20"/>
                <w:szCs w:val="20"/>
                <w:rtl w:val="0"/>
              </w:rPr>
              <w:t xml:space="preserve">means any reasonable costs that will be incurred in managing the transition of a Transferring Former Supplier Employee, and will not be required to fulfil a role as part of the new contract, subject to the Supplier taking all reasonable steps to mitigate such costs.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w:t>
            </w:r>
          </w:p>
        </w:tc>
        <w:tc>
          <w:tcP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standard employer pension contributions paid in accordance with the relevant pension scheme rules and used in the calculation of the TUPE Risk Premium less any costs recoverable under paragraph 6 of Annex D3: LGPS of Part D Pensions of Schedule 2 Staff Transfer;</w:t>
            </w:r>
          </w:p>
        </w:tc>
      </w:tr>
      <w:tr>
        <w:trPr>
          <w:cantSplit w:val="0"/>
          <w:tblHeader w:val="0"/>
        </w:trPr>
        <w:tc>
          <w:tcP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 Cap"</w:t>
            </w:r>
          </w:p>
        </w:tc>
        <w:tc>
          <w:tcP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6% maximum rate of Employer Pension Contribution used in the calculation of the TUPE Risk Premium;</w:t>
            </w:r>
          </w:p>
        </w:tc>
      </w:tr>
      <w:tr>
        <w:trPr>
          <w:cantSplit w:val="0"/>
          <w:tblHeader w:val="0"/>
        </w:trPr>
        <w:tc>
          <w:tcP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“Fixed Fee TUPE Risk Premium”</w:t>
            </w:r>
          </w:p>
        </w:tc>
        <w:tc>
          <w:tcP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on an annual basis based on the difference between:</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3 of Call Off Schedule 6 (TUPE Surcharge);</w:t>
            </w:r>
          </w:p>
        </w:tc>
      </w:tr>
      <w:tr>
        <w:trPr>
          <w:cantSplit w:val="0"/>
          <w:tblHeader w:val="0"/>
        </w:trPr>
        <w:tc>
          <w:tcP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"Further Competition TUPE Risk Premium"</w:t>
            </w:r>
          </w:p>
        </w:tc>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w:t>
            </w:r>
            <w:r w:rsidDel="00000000" w:rsidR="00000000" w:rsidRPr="00000000">
              <w:rPr>
                <w:rtl w:val="0"/>
              </w:rPr>
              <w:t xml:space="preserve">     </w:t>
            </w:r>
            <w:r w:rsidDel="00000000" w:rsidR="00000000" w:rsidRPr="00000000">
              <w:rPr>
                <w:color w:val="000000"/>
                <w:sz w:val="20"/>
                <w:szCs w:val="20"/>
                <w:rtl w:val="0"/>
              </w:rPr>
              <w:t xml:space="preserve">on an annual basis based on the difference between:</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w:t>
            </w:r>
            <w:r w:rsidDel="00000000" w:rsidR="00000000" w:rsidRPr="00000000">
              <w:rPr>
                <w:rtl w:val="0"/>
              </w:rPr>
              <w:t xml:space="preserve">     </w:t>
            </w:r>
            <w:r w:rsidDel="00000000" w:rsidR="00000000" w:rsidRPr="00000000">
              <w:rPr>
                <w:color w:val="000000"/>
                <w:sz w:val="20"/>
                <w:szCs w:val="20"/>
                <w:rtl w:val="0"/>
              </w:rPr>
              <w:t xml:space="preserve">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2 of Call Off Schedule 6 (TUPE Surcharge);</w:t>
            </w:r>
          </w:p>
        </w:tc>
      </w:tr>
      <w:tr>
        <w:trPr>
          <w:cantSplit w:val="0"/>
          <w:tblHeader w:val="0"/>
        </w:trPr>
        <w:tc>
          <w:tcP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"Other Pension Cost"</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means: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5"/>
              </w:tabs>
              <w:spacing w:after="120" w:lineRule="auto"/>
              <w:rPr>
                <w:sz w:val="20"/>
                <w:szCs w:val="20"/>
              </w:rPr>
            </w:pPr>
            <w:r w:rsidDel="00000000" w:rsidR="00000000" w:rsidRPr="00000000">
              <w:rPr>
                <w:color w:val="000000"/>
                <w:sz w:val="20"/>
                <w:szCs w:val="20"/>
                <w:rtl w:val="0"/>
              </w:rPr>
              <w:t xml:space="preserve">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w:t>
            </w:r>
            <w:r w:rsidDel="00000000" w:rsidR="00000000" w:rsidRPr="00000000">
              <w:rPr>
                <w:sz w:val="20"/>
                <w:szCs w:val="20"/>
                <w:rtl w:val="0"/>
              </w:rPr>
              <w:t xml:space="preserve">agreed in writing by the Buyer);</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5"/>
              </w:tabs>
              <w:spacing w:after="120" w:lineRule="auto"/>
              <w:rPr>
                <w:sz w:val="20"/>
                <w:szCs w:val="20"/>
              </w:rPr>
            </w:pPr>
            <w:r w:rsidDel="00000000" w:rsidR="00000000" w:rsidRPr="00000000">
              <w:rPr>
                <w:sz w:val="20"/>
                <w:szCs w:val="20"/>
                <w:rtl w:val="0"/>
              </w:rPr>
              <w:t xml:space="preserve">c)    in respect of LGPS Eligible Employees, the standard employer contribution rate applicable to LGPS Eligible Employees during the Contract Period and payable 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paragraph 6 of Annex D3: LGPS of Part D Pensions of Schedule 2 Staff Transfer; and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sz w:val="20"/>
                <w:szCs w:val="20"/>
                <w:rtl w:val="0"/>
              </w:rPr>
              <w:t xml:space="preserve">d)    such other pension contributions, charges or costs incurred by the Supplier which have been </w:t>
            </w:r>
            <w:r w:rsidDel="00000000" w:rsidR="00000000" w:rsidRPr="00000000">
              <w:rPr>
                <w:color w:val="000000"/>
                <w:sz w:val="20"/>
                <w:szCs w:val="20"/>
                <w:rtl w:val="0"/>
              </w:rPr>
              <w:t xml:space="preserve">expressly agreed by the Buyer in writing to constitute “Other Pension Costs”</w:t>
            </w:r>
          </w:p>
        </w:tc>
      </w:tr>
      <w:tr>
        <w:trPr>
          <w:cantSplit w:val="0"/>
          <w:tblHeader w:val="0"/>
        </w:trPr>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"TUPE Count"</w:t>
            </w:r>
          </w:p>
        </w:tc>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total number of:</w:t>
            </w:r>
          </w:p>
          <w:p w:rsidR="00000000" w:rsidDel="00000000" w:rsidP="00000000" w:rsidRDefault="00000000" w:rsidRPr="00000000" w14:paraId="00000043">
            <w:pPr>
              <w:numPr>
                <w:ilvl w:val="0"/>
                <w:numId w:val="3"/>
              </w:numPr>
              <w:pBdr>
                <w:top w:space="0" w:sz="0" w:val="nil"/>
                <w:left w:space="0" w:sz="0" w:val="nil"/>
                <w:bottom w:space="0" w:sz="0" w:val="nil"/>
                <w:right w:space="0" w:sz="0" w:val="nil"/>
                <w:between w:space="0" w:sz="0" w:val="nil"/>
              </w:pBdr>
              <w:tabs>
                <w:tab w:val="left" w:leader="none" w:pos="175"/>
                <w:tab w:val="left" w:leader="none" w:pos="-9"/>
              </w:tabs>
              <w:spacing w:after="0" w:afterAutospacing="0" w:lineRule="auto"/>
              <w:ind w:left="720" w:hanging="360"/>
              <w:jc w:val="left"/>
              <w:rPr>
                <w:color w:val="000000"/>
                <w:sz w:val="20"/>
                <w:szCs w:val="20"/>
                <w:u w:val="none"/>
              </w:rPr>
            </w:pPr>
            <w:r w:rsidDel="00000000" w:rsidR="00000000" w:rsidRPr="00000000">
              <w:rPr>
                <w:color w:val="000000"/>
                <w:sz w:val="20"/>
                <w:szCs w:val="20"/>
                <w:rtl w:val="0"/>
              </w:rPr>
              <w:t xml:space="preserve">Transferring Former Supplier Employees;</w:t>
            </w:r>
          </w:p>
          <w:p w:rsidR="00000000" w:rsidDel="00000000" w:rsidP="00000000" w:rsidRDefault="00000000" w:rsidRPr="00000000" w14:paraId="00000044">
            <w:pPr>
              <w:numPr>
                <w:ilvl w:val="0"/>
                <w:numId w:val="3"/>
              </w:numPr>
              <w:pBdr>
                <w:top w:space="0" w:sz="0" w:val="nil"/>
                <w:left w:space="0" w:sz="0" w:val="nil"/>
                <w:bottom w:space="0" w:sz="0" w:val="nil"/>
                <w:right w:space="0" w:sz="0" w:val="nil"/>
                <w:between w:space="0" w:sz="0" w:val="nil"/>
              </w:pBdr>
              <w:tabs>
                <w:tab w:val="left" w:leader="none" w:pos="175"/>
                <w:tab w:val="left" w:leader="none" w:pos="-9"/>
              </w:tabs>
              <w:spacing w:after="0" w:afterAutospacing="0" w:lineRule="auto"/>
              <w:ind w:left="720" w:hanging="360"/>
              <w:jc w:val="left"/>
              <w:rPr>
                <w:color w:val="000000"/>
                <w:sz w:val="20"/>
                <w:szCs w:val="20"/>
                <w:u w:val="none"/>
              </w:rPr>
            </w:pPr>
            <w:r w:rsidDel="00000000" w:rsidR="00000000" w:rsidRPr="00000000">
              <w:rPr>
                <w:sz w:val="20"/>
                <w:szCs w:val="20"/>
                <w:rtl w:val="0"/>
              </w:rPr>
              <w:t xml:space="preserve">where the Former Supplier becomes the Supplier the Former Supplier employees providing the Services at the Commencement Date;</w:t>
            </w:r>
            <w:r w:rsidDel="00000000" w:rsidR="00000000" w:rsidRPr="00000000">
              <w:rPr>
                <w:color w:val="000000"/>
                <w:sz w:val="20"/>
                <w:szCs w:val="20"/>
                <w:rtl w:val="0"/>
              </w:rPr>
              <w:t xml:space="preserve"> and/or </w:t>
            </w:r>
          </w:p>
          <w:p w:rsidR="00000000" w:rsidDel="00000000" w:rsidP="00000000" w:rsidRDefault="00000000" w:rsidRPr="00000000" w14:paraId="00000045">
            <w:pPr>
              <w:numPr>
                <w:ilvl w:val="0"/>
                <w:numId w:val="3"/>
              </w:numPr>
              <w:pBdr>
                <w:top w:space="0" w:sz="0" w:val="nil"/>
                <w:left w:space="0" w:sz="0" w:val="nil"/>
                <w:bottom w:space="0" w:sz="0" w:val="nil"/>
                <w:right w:space="0" w:sz="0" w:val="nil"/>
                <w:between w:space="0" w:sz="0" w:val="nil"/>
              </w:pBdr>
              <w:tabs>
                <w:tab w:val="left" w:leader="none" w:pos="175"/>
                <w:tab w:val="left" w:leader="none" w:pos="-9"/>
              </w:tabs>
              <w:spacing w:after="120" w:lineRule="auto"/>
              <w:ind w:left="720" w:hanging="360"/>
              <w:jc w:val="left"/>
              <w:rPr>
                <w:color w:val="000000"/>
                <w:sz w:val="20"/>
                <w:szCs w:val="20"/>
                <w:u w:val="none"/>
              </w:rPr>
            </w:pPr>
            <w:r w:rsidDel="00000000" w:rsidR="00000000" w:rsidRPr="00000000">
              <w:rPr>
                <w:color w:val="000000"/>
                <w:sz w:val="20"/>
                <w:szCs w:val="20"/>
                <w:rtl w:val="0"/>
              </w:rPr>
              <w:t xml:space="preserve">Transferring Buyer Employees identified in the employee liability information;</w:t>
            </w:r>
          </w:p>
        </w:tc>
      </w:tr>
      <w:tr>
        <w:trPr>
          <w:cantSplit w:val="0"/>
          <w:tblHeader w:val="0"/>
        </w:trPr>
        <w:tc>
          <w:tcPr>
            <w:vAlign w:val="center"/>
          </w:tcPr>
          <w:p w:rsidR="00000000" w:rsidDel="00000000" w:rsidP="00000000" w:rsidRDefault="00000000" w:rsidRPr="00000000" w14:paraId="00000046">
            <w:pPr>
              <w:ind w:left="72" w:firstLine="0"/>
              <w:jc w:val="center"/>
              <w:rPr>
                <w:b w:val="1"/>
                <w:color w:val="000000"/>
                <w:sz w:val="20"/>
                <w:szCs w:val="20"/>
              </w:rPr>
            </w:pPr>
            <w:r w:rsidDel="00000000" w:rsidR="00000000" w:rsidRPr="00000000">
              <w:rPr>
                <w:b w:val="1"/>
                <w:color w:val="000000"/>
                <w:sz w:val="20"/>
                <w:szCs w:val="20"/>
                <w:rtl w:val="0"/>
              </w:rPr>
              <w:t xml:space="preserve">"TUPE Risk Premium"</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either the:</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Direct Award TUPE Risk Premium;</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Further Competition TUPE Risk Premium; or</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c)</w:t>
              <w:tab/>
              <w:t xml:space="preserve">Fixed Fee TUPE Risk Premium,</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as the context requires;</w:t>
            </w:r>
          </w:p>
        </w:tc>
      </w:tr>
      <w:tr>
        <w:trPr>
          <w:cantSplit w:val="0"/>
          <w:tblHeader w:val="0"/>
        </w:trPr>
        <w:tc>
          <w:tcPr>
            <w:vAlign w:val="center"/>
          </w:tcPr>
          <w:p w:rsidR="00000000" w:rsidDel="00000000" w:rsidP="00000000" w:rsidRDefault="00000000" w:rsidRPr="00000000" w14:paraId="0000004C">
            <w:pPr>
              <w:ind w:left="72" w:firstLine="0"/>
              <w:jc w:val="center"/>
              <w:rPr>
                <w:b w:val="1"/>
                <w:color w:val="000000"/>
                <w:sz w:val="20"/>
                <w:szCs w:val="20"/>
              </w:rPr>
            </w:pPr>
            <w:r w:rsidDel="00000000" w:rsidR="00000000" w:rsidRPr="00000000">
              <w:rPr>
                <w:b w:val="1"/>
                <w:color w:val="000000"/>
                <w:sz w:val="20"/>
                <w:szCs w:val="20"/>
                <w:rtl w:val="0"/>
              </w:rPr>
              <w:t xml:space="preserve">"TUPE Risk Premium Average"</w:t>
            </w:r>
          </w:p>
        </w:tc>
        <w:tc>
          <w:tcP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the average</w:t>
            </w:r>
            <w:r w:rsidDel="00000000" w:rsidR="00000000" w:rsidRPr="00000000">
              <w:rPr>
                <w:rtl w:val="0"/>
              </w:rPr>
              <w:t xml:space="preserve">     </w:t>
            </w:r>
            <w:r w:rsidDel="00000000" w:rsidR="00000000" w:rsidRPr="00000000">
              <w:rPr>
                <w:color w:val="000000"/>
                <w:sz w:val="20"/>
                <w:szCs w:val="20"/>
                <w:rtl w:val="0"/>
              </w:rPr>
              <w:t xml:space="preserve"> calculated by dividing the Further Competition TUPE Risk Premium by the lower of either:</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Labour Count; or</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the TUPE Count.</w:t>
            </w:r>
          </w:p>
        </w:tc>
      </w:tr>
    </w:tbl>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rtl w:val="0"/>
        </w:rPr>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3znysh7" w:id="4"/>
      <w:bookmarkEnd w:id="4"/>
      <w:r w:rsidDel="00000000" w:rsidR="00000000" w:rsidRPr="00000000">
        <w:rPr>
          <w:b w:val="1"/>
          <w:color w:val="000000"/>
          <w:rtl w:val="0"/>
        </w:rPr>
        <w:t xml:space="preserve">OPTION 1 – DIRECT AWARD – TUPE RISK PREMIUM</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be as set out in Annex 1 - Framework Schedule 3 (Framework Prices). </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apply for the Call Off Contract Period and no changes shall be permitted except as set out in paragraph 4 of this Schedule 6 (TUPE Surcharge).</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2et92p0" w:id="5"/>
      <w:bookmarkEnd w:id="5"/>
      <w:r w:rsidDel="00000000" w:rsidR="00000000" w:rsidRPr="00000000">
        <w:rPr>
          <w:b w:val="1"/>
          <w:color w:val="000000"/>
          <w:rtl w:val="0"/>
        </w:rPr>
        <w:t xml:space="preserve">OPTION 2 - FURTHER COMPETITION TUPE RISK PREMIUM</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Further Competition TUPE Risk Premium shall be priced for at Further Competition as set out in Annex 1 - Call Off Schedule 5 (Call-Off Pricing).</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 Relevant Transfer takes place, or will take place, the Supplier shall, no later than 20 Working Days after the Relevant Transfer Date, submit to the Buyer:</w:t>
      </w:r>
    </w:p>
    <w:p w:rsidR="00000000" w:rsidDel="00000000" w:rsidP="00000000" w:rsidRDefault="00000000" w:rsidRPr="00000000" w14:paraId="0000005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notice that no adjustment is required and the Further Competition TUPE Risk Premium submitted at Call-Off Tender will be used.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or</w:t>
      </w:r>
    </w:p>
    <w:p w:rsidR="00000000" w:rsidDel="00000000" w:rsidP="00000000" w:rsidRDefault="00000000" w:rsidRPr="00000000" w14:paraId="00000059">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its updated calculation of the Further Competition TUPE Risk Premium together with a breakdown and supporting evidence as may be reasonably required for the Buyer to corroborate and assess the calculation of the Further Competition TUPE Risk Premium.</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134"/>
        </w:tabs>
        <w:spacing w:after="120" w:before="120" w:lineRule="auto"/>
        <w:ind w:left="936" w:firstLine="0"/>
        <w:rPr>
          <w:color w:val="000000"/>
        </w:rPr>
      </w:pP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Further Competition TUPE Risk Premium, when Post Award Adjustment</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tyjcwt" w:id="6"/>
      <w:bookmarkEnd w:id="6"/>
      <w:r w:rsidDel="00000000" w:rsidR="00000000" w:rsidRPr="00000000">
        <w:rPr>
          <w:color w:val="000000"/>
          <w:rtl w:val="0"/>
        </w:rPr>
        <w:t xml:space="preserve">Within 20 Working Days after the Relevant Transfer Date, the Supplier may request a Further Competition TUPE Risk Premium adjustment, and the Buyer may grant the request, if:</w:t>
      </w:r>
    </w:p>
    <w:p w:rsidR="00000000" w:rsidDel="00000000" w:rsidP="00000000" w:rsidRDefault="00000000" w:rsidRPr="00000000" w14:paraId="0000005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the Supplier can evidence any inaccuracies or omissions in the information in the following areas provided during the Further Competition: </w:t>
      </w:r>
    </w:p>
    <w:p w:rsidR="00000000" w:rsidDel="00000000" w:rsidP="00000000" w:rsidRDefault="00000000" w:rsidRPr="00000000" w14:paraId="0000005E">
      <w:pPr>
        <w:numPr>
          <w:ilvl w:val="4"/>
          <w:numId w:val="1"/>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TUPE Count; and or</w:t>
      </w:r>
    </w:p>
    <w:p w:rsidR="00000000" w:rsidDel="00000000" w:rsidP="00000000" w:rsidRDefault="00000000" w:rsidRPr="00000000" w14:paraId="0000005F">
      <w:pPr>
        <w:numPr>
          <w:ilvl w:val="4"/>
          <w:numId w:val="1"/>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any costs covered by the Further Competition TUPE Risk Premium,</w:t>
      </w:r>
    </w:p>
    <w:p w:rsidR="00000000" w:rsidDel="00000000" w:rsidP="00000000" w:rsidRDefault="00000000" w:rsidRPr="00000000" w14:paraId="0000006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rtl w:val="0"/>
        </w:rPr>
        <w:t xml:space="preserve">     </w:t>
      </w:r>
      <w:r w:rsidDel="00000000" w:rsidR="00000000" w:rsidRPr="00000000">
        <w:rPr>
          <w:color w:val="000000"/>
          <w:rtl w:val="0"/>
        </w:rPr>
        <w:t xml:space="preserve">and where a full breakdown and supporting evidence is submitted in support of a request to adjust the Further Competition TUPE Risk Premium. </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and, if applicable, a request for a Further Competition TUPE Risk Premium adjustment, the Buyer shall either:</w:t>
      </w:r>
    </w:p>
    <w:p w:rsidR="00000000" w:rsidDel="00000000" w:rsidP="00000000" w:rsidRDefault="00000000" w:rsidRPr="00000000" w14:paraId="0000006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Further Competition TUPE Risk Premium and, if applicable, the Further Competition TUPE Risk Premium adjustment relating to the Relevant Transfer; </w:t>
      </w:r>
    </w:p>
    <w:p w:rsidR="00000000" w:rsidDel="00000000" w:rsidP="00000000" w:rsidRDefault="00000000" w:rsidRPr="00000000" w14:paraId="0000006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Supplier requests a Further Competition TUPE Risk Premium adjustment and it is agreed by the Buyer, the Further Competition TUPE Risk Premium shall be adjusted accordingly.</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Parties are unable to agree either the Further Competition TUPE Risk Premium or, if applicable, the Further Competition TUPE Risk Premium adjustment the Parties shall follow the Dispute Resolution Procedure.</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agreement of the Further Competition TUPE Risk Premium the Further Competition TUPE Risk Premium Average shall be calculated and this will be used as the basis for the</w:t>
      </w:r>
      <w:r w:rsidDel="00000000" w:rsidR="00000000" w:rsidRPr="00000000">
        <w:rPr>
          <w:rtl w:val="0"/>
        </w:rPr>
        <w:t xml:space="preserve">     </w:t>
      </w:r>
      <w:r w:rsidDel="00000000" w:rsidR="00000000" w:rsidRPr="00000000">
        <w:rPr>
          <w:color w:val="000000"/>
          <w:rtl w:val="0"/>
        </w:rPr>
        <w:t xml:space="preserve"> annual  review of the Further Competition TUPE Risk Premium.</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b w:val="1"/>
          <w:color w:val="000000"/>
          <w:rtl w:val="0"/>
        </w:rPr>
        <w:t xml:space="preserve">Annual Review of Further Competition TUPE Risk Premium</w:t>
      </w:r>
      <w:r w:rsidDel="00000000" w:rsidR="00000000" w:rsidRPr="00000000">
        <w:rPr>
          <w:rtl w:val="0"/>
        </w:rPr>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Further Competition TUPE Risk Premium shall be reviewed by the Buyer at the commencement of each Contract Year.</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3dy6vkm" w:id="7"/>
      <w:bookmarkEnd w:id="7"/>
      <w:r w:rsidDel="00000000" w:rsidR="00000000" w:rsidRPr="00000000">
        <w:rPr>
          <w:color w:val="000000"/>
          <w:rtl w:val="0"/>
        </w:rPr>
        <w:t xml:space="preserve">The Supplier shall submit to the Buyer, no later than 20 Working Days prior to the beginning of each Contract Year, evidence of any change to the TUPE Count in the previous Contract Year or since it was last adjusted. </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TUPE Count is less than the TUPE Count in the previous Contract Year, the Further Competition TUPE Risk Premium shall be adjusted using the following calculation:</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Difference in TUPE Count (Previous Contract Year less current Contract Year) x TUPE Risk Premium Average.</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shall cease to be liable to pay the Further Competition TUPE Risk Premium Average in respect of a particular Transferring Former Supplier Employee or a Transferring Buyer Employee from the date upon which he ceases to be employed by the Supplier or engaged in the provision of services under </w:t>
      </w:r>
      <w:r w:rsidDel="00000000" w:rsidR="00000000" w:rsidRPr="00000000">
        <w:rPr>
          <w:rtl w:val="0"/>
        </w:rPr>
        <w:t xml:space="preserve">     </w:t>
      </w:r>
      <w:r w:rsidDel="00000000" w:rsidR="00000000" w:rsidRPr="00000000">
        <w:rPr>
          <w:color w:val="000000"/>
          <w:rtl w:val="0"/>
        </w:rPr>
        <w:t xml:space="preserve">this Contract (whichever occurs the earliest).</w:t>
      </w:r>
    </w:p>
    <w:p w:rsidR="00000000" w:rsidDel="00000000" w:rsidP="00000000" w:rsidRDefault="00000000" w:rsidRPr="00000000" w14:paraId="0000006F">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517" w:hanging="720"/>
        <w:rPr>
          <w:color w:val="000000"/>
        </w:rPr>
      </w:pPr>
      <w:r w:rsidDel="00000000" w:rsidR="00000000" w:rsidRPr="00000000">
        <w:rPr>
          <w:color w:val="000000"/>
          <w:rtl w:val="0"/>
        </w:rPr>
        <w:t xml:space="preserve">If an employee ceases to be employed part way through the year the TUPE Risk Premium Average allocated to that employee will be deducted on a pro rata basis.</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submitted pursuant to paragraph 2.3.2 the Buyer shall either:</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adjusted Further Competition TUPE Risk Premium; or </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7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adjustment to the Further Competition TUPE Risk Premium, they shall follow the Dispute Resolution Procedure.</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adjusted Further Competition TUPE Risk Premium shall be used as the benchmark in the subsequent annual review of the Further Competition TUPE Risk Premium.</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adjusted Further Competition TUPE Risk Premium is more than the Further Competition TUPE Risk Premium in the previous Contract Year, the Further Competition TUPE Risk Premium shall not be adjusted.</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Right of Audit</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reserves the right to review and audit the calculation of the Further Competition TUPE Risk Premium at any time. </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1t3h5sf" w:id="8"/>
      <w:bookmarkEnd w:id="8"/>
      <w:r w:rsidDel="00000000" w:rsidR="00000000" w:rsidRPr="00000000">
        <w:rPr>
          <w:b w:val="1"/>
          <w:color w:val="000000"/>
          <w:rtl w:val="0"/>
        </w:rPr>
        <w:t xml:space="preserve">OPTION 3 – FURTHER COMPETITION - FIXED FEE TUPE RISK PREMIUM</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The Fixed Fee TUPE Risk Premium shall be priced for at Further Competition as set out in Annex 1 - Call Off Schedule 5 (Call-Off Pricing) and no further adjustments shall be permitted except as set out in paragraph 4 of this Schedule 6 (TUPE Surcharge).</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r w:rsidDel="00000000" w:rsidR="00000000" w:rsidRPr="00000000">
        <w:rPr>
          <w:b w:val="1"/>
          <w:color w:val="000000"/>
          <w:rtl w:val="0"/>
        </w:rPr>
        <w:t xml:space="preserve">EMPLOYER PENSIONS CONTRIBUTION CAP &amp; OTHER PENSION COST</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For all options detailed at paragraphs 1, 2 and 3 above the following shall apply.</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rtl w:val="0"/>
        </w:rPr>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pension adjustment in accordance with the provisions of paragraph 4.1.1. above to the TUPE Risk Premium they must provide sufficient evidence to the Buyer to justify the pension adjustment.</w:t>
      </w:r>
    </w:p>
    <w:p w:rsidR="00000000" w:rsidDel="00000000" w:rsidP="00000000" w:rsidRDefault="00000000" w:rsidRPr="00000000" w14:paraId="00000082">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pension adjustment the Buyer shall either:</w:t>
      </w:r>
    </w:p>
    <w:p w:rsidR="00000000" w:rsidDel="00000000" w:rsidP="00000000" w:rsidRDefault="00000000" w:rsidRPr="00000000" w14:paraId="0000008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pension adjustment; </w:t>
      </w:r>
    </w:p>
    <w:p w:rsidR="00000000" w:rsidDel="00000000" w:rsidP="00000000" w:rsidRDefault="00000000" w:rsidRPr="00000000" w14:paraId="0000008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8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86">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pension adjustment in Paragraph 4.1.1 is agreed following the receipt of further information/evidence or following a meeting, the Buyer shall notify the Supplier in writing. </w:t>
      </w:r>
    </w:p>
    <w:p w:rsidR="00000000" w:rsidDel="00000000" w:rsidP="00000000" w:rsidRDefault="00000000" w:rsidRPr="00000000" w14:paraId="00000087">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pension adjustment, they shall follow the Dispute Resolution Procedure. </w:t>
      </w:r>
    </w:p>
    <w:p w:rsidR="00000000" w:rsidDel="00000000" w:rsidP="00000000" w:rsidRDefault="00000000" w:rsidRPr="00000000" w14:paraId="00000088">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paragraph 4.1.4 above applies, the excess amount calculated for the pension adjustment is not included in any calculation of the TUPE Risk Premium Average.</w:t>
      </w:r>
    </w:p>
    <w:p w:rsidR="00000000" w:rsidDel="00000000" w:rsidP="00000000" w:rsidRDefault="00000000" w:rsidRPr="00000000" w14:paraId="00000089">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Any pension adjustment agreed by the Buyer over the Employer Pension Contribution Cap or in respect of Other Pension Cost shall be paid within timescales as agreed between Buyer and Supplier.</w:t>
      </w:r>
    </w:p>
    <w:p w:rsidR="00000000" w:rsidDel="00000000" w:rsidP="00000000" w:rsidRDefault="00000000" w:rsidRPr="00000000" w14:paraId="0000008A">
      <w:pPr>
        <w:numPr>
          <w:ilvl w:val="0"/>
          <w:numId w:val="2"/>
        </w:numPr>
        <w:pBdr>
          <w:top w:space="0" w:sz="0" w:val="nil"/>
          <w:left w:space="0" w:sz="0" w:val="nil"/>
          <w:bottom w:space="0" w:sz="0" w:val="nil"/>
          <w:right w:space="0" w:sz="0" w:val="nil"/>
          <w:between w:space="0" w:sz="0" w:val="nil"/>
        </w:pBdr>
        <w:ind w:left="502" w:hanging="360"/>
        <w:rPr>
          <w:b w:val="1"/>
          <w:color w:val="000000"/>
        </w:rPr>
      </w:pPr>
      <w:r w:rsidDel="00000000" w:rsidR="00000000" w:rsidRPr="00000000">
        <w:rPr>
          <w:b w:val="1"/>
          <w:color w:val="000000"/>
          <w:rtl w:val="0"/>
        </w:rPr>
        <w:t xml:space="preserve">COST OF CHANGE</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1 - Direct Award TUPE Risk Premium. </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Cost of Change.</w:t>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2 – Further Competition TUPE Risk Premium.</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post award adjustment they must provide sufficient evidence to the Buyer to justify the post award adjustment.</w:t>
      </w:r>
    </w:p>
    <w:p w:rsidR="00000000" w:rsidDel="00000000" w:rsidP="00000000" w:rsidRDefault="00000000" w:rsidRPr="00000000" w14:paraId="0000008F">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post award adjustment the Buyer shall either:</w:t>
      </w:r>
    </w:p>
    <w:p w:rsidR="00000000" w:rsidDel="00000000" w:rsidP="00000000" w:rsidRDefault="00000000" w:rsidRPr="00000000" w14:paraId="0000009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Cost of Change adjustments, or</w:t>
      </w:r>
    </w:p>
    <w:p w:rsidR="00000000" w:rsidDel="00000000" w:rsidP="00000000" w:rsidRDefault="00000000" w:rsidRPr="00000000" w14:paraId="0000009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9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93">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rPr>
      </w:pPr>
      <w:r w:rsidDel="00000000" w:rsidR="00000000" w:rsidRPr="00000000">
        <w:rPr>
          <w:color w:val="000000"/>
          <w:rtl w:val="0"/>
        </w:rPr>
        <w:t xml:space="preserve">Following a request in accordance with 1.2.2 (b) or (c) above, the Buyer shall notify the Supplier if the Cost of Change adjustment is accepted or not (such decision being entirely at the Buyer’s discretion).</w:t>
      </w:r>
      <w:r w:rsidDel="00000000" w:rsidR="00000000" w:rsidRPr="00000000">
        <w:rPr>
          <w:rtl w:val="0"/>
        </w:rPr>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3 – Further Competition Fixed Fee TUPE Risk Premium</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post award adjustment to Cost of Change.</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rtl w:val="0"/>
        </w:rPr>
      </w:r>
    </w:p>
    <w:p w:rsidR="00000000" w:rsidDel="00000000" w:rsidP="00000000" w:rsidRDefault="00000000" w:rsidRPr="00000000" w14:paraId="00000097">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tabs>
        <w:tab w:val="center" w:leader="none" w:pos="4513"/>
        <w:tab w:val="right" w:leader="none" w:pos="9026"/>
      </w:tabs>
      <w:spacing w:after="0" w:lineRule="auto"/>
      <w:jc w:val="left"/>
      <w:rPr>
        <w:b w:val="1"/>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5600700</wp:posOffset>
          </wp:positionH>
          <wp:positionV relativeFrom="paragraph">
            <wp:posOffset>-335279</wp:posOffset>
          </wp:positionV>
          <wp:extent cx="1004888" cy="837406"/>
          <wp:effectExtent b="0" l="0" r="0" t="0"/>
          <wp:wrapSquare wrapText="bothSides" distB="114300" distT="114300" distL="114300" distR="11430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4888" cy="837406"/>
                  </a:xfrm>
                  <a:prstGeom prst="rect"/>
                  <a:ln/>
                </pic:spPr>
              </pic:pic>
            </a:graphicData>
          </a:graphic>
        </wp:anchor>
      </w:drawing>
    </w:r>
  </w:p>
  <w:p w:rsidR="00000000" w:rsidDel="00000000" w:rsidP="00000000" w:rsidRDefault="00000000" w:rsidRPr="00000000" w14:paraId="00000099">
    <w:pPr>
      <w:tabs>
        <w:tab w:val="center" w:leader="none" w:pos="4513"/>
        <w:tab w:val="right" w:leader="none" w:pos="9026"/>
      </w:tabs>
      <w:spacing w:after="0" w:lineRule="auto"/>
      <w:jc w:val="left"/>
      <w:rPr>
        <w:b w:val="1"/>
      </w:rPr>
    </w:pPr>
    <w:r w:rsidDel="00000000" w:rsidR="00000000" w:rsidRPr="00000000">
      <w:rPr>
        <w:rtl w:val="0"/>
      </w:rPr>
    </w:r>
  </w:p>
  <w:p w:rsidR="00000000" w:rsidDel="00000000" w:rsidP="00000000" w:rsidRDefault="00000000" w:rsidRPr="00000000" w14:paraId="0000009A">
    <w:pPr>
      <w:spacing w:after="0" w:line="276" w:lineRule="auto"/>
      <w:jc w:val="left"/>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09B">
    <w:pPr>
      <w:tabs>
        <w:tab w:val="center" w:leader="none" w:pos="4513"/>
        <w:tab w:val="right" w:leader="none" w:pos="9026"/>
      </w:tabs>
      <w:spacing w:after="0" w:lineRule="auto"/>
      <w:jc w:val="left"/>
      <w:rPr/>
    </w:pPr>
    <w:r w:rsidDel="00000000" w:rsidR="00000000" w:rsidRPr="00000000">
      <w:rPr>
        <w:b w:val="1"/>
        <w:rtl w:val="0"/>
      </w:rPr>
      <w:t xml:space="preserve">Call-Off Schedule 6 (TUPE Surcharge)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lvl>
    <w:lvl w:ilvl="1">
      <w:start w:val="1"/>
      <w:numFmt w:val="decimal"/>
      <w:lvlText w:val="%1.%2."/>
      <w:lvlJc w:val="left"/>
      <w:pPr>
        <w:ind w:left="1078" w:hanging="579"/>
      </w:pPr>
      <w:rPr>
        <w:rFonts w:ascii="Calibri" w:cs="Calibri" w:eastAsia="Calibri" w:hAnsi="Calibri"/>
        <w:b w:val="0"/>
      </w:rPr>
    </w:lvl>
    <w:lvl w:ilvl="2">
      <w:start w:val="1"/>
      <w:numFmt w:val="decimal"/>
      <w:lvlText w:val="%1.%2.%3."/>
      <w:lvlJc w:val="left"/>
      <w:pPr>
        <w:ind w:left="1798" w:hanging="720"/>
      </w:pPr>
      <w:rPr>
        <w:rFonts w:ascii="Calibri" w:cs="Calibri" w:eastAsia="Calibri" w:hAnsi="Calibri"/>
        <w:b w:val="0"/>
      </w:rPr>
    </w:lvl>
    <w:lvl w:ilvl="3">
      <w:start w:val="1"/>
      <w:numFmt w:val="lowerLetter"/>
      <w:lvlText w:val="(%4)"/>
      <w:lvlJc w:val="left"/>
      <w:pPr>
        <w:ind w:left="2733" w:hanging="935"/>
      </w:pPr>
      <w:rPr>
        <w:rFonts w:ascii="Calibri" w:cs="Calibri" w:eastAsia="Calibri" w:hAnsi="Calibri"/>
        <w:b w:val="0"/>
      </w:rPr>
    </w:lvl>
    <w:lvl w:ilvl="4">
      <w:start w:val="1"/>
      <w:numFmt w:val="lowerRoman"/>
      <w:lvlText w:val="(%5)"/>
      <w:lvlJc w:val="left"/>
      <w:pPr>
        <w:ind w:left="3261" w:hanging="566"/>
      </w:pPr>
      <w:rPr>
        <w:rFonts w:ascii="Calibri" w:cs="Calibri" w:eastAsia="Calibri" w:hAnsi="Calibri"/>
      </w:rPr>
    </w:lvl>
    <w:lvl w:ilvl="5">
      <w:start w:val="1"/>
      <w:numFmt w:val="decimal"/>
      <w:lvlText w:val="%1.%2.%3.%4.%5.%6."/>
      <w:lvlJc w:val="left"/>
      <w:pPr>
        <w:ind w:left="2878" w:hanging="935"/>
      </w:pPr>
      <w:rPr/>
    </w:lvl>
    <w:lvl w:ilvl="6">
      <w:start w:val="1"/>
      <w:numFmt w:val="decimal"/>
      <w:lvlText w:val="%1.%2.%3.%4.%5.%6.%7."/>
      <w:lvlJc w:val="left"/>
      <w:pPr>
        <w:ind w:left="3382" w:hanging="1080"/>
      </w:pPr>
      <w:rPr/>
    </w:lvl>
    <w:lvl w:ilvl="7">
      <w:start w:val="1"/>
      <w:numFmt w:val="decimal"/>
      <w:lvlText w:val="%1.%2.%3.%4.%5.%6.%7.%8."/>
      <w:lvlJc w:val="left"/>
      <w:pPr>
        <w:ind w:left="3886" w:hanging="1223"/>
      </w:pPr>
      <w:rPr/>
    </w:lvl>
    <w:lvl w:ilvl="8">
      <w:start w:val="1"/>
      <w:numFmt w:val="decimal"/>
      <w:lvlText w:val="%1.%2.%3.%4.%5.%6.%7.%8.%9."/>
      <w:lvlJc w:val="left"/>
      <w:pPr>
        <w:ind w:left="4462" w:hanging="1440"/>
      </w:pPr>
      <w:rPr/>
    </w:lvl>
  </w:abstractNum>
  <w:abstractNum w:abstractNumId="2">
    <w:lvl w:ilvl="0">
      <w:start w:val="4"/>
      <w:numFmt w:val="decimal"/>
      <w:lvlText w:val="%1."/>
      <w:lvlJc w:val="left"/>
      <w:pPr>
        <w:ind w:left="502" w:hanging="360"/>
      </w:pPr>
      <w:rPr>
        <w:color w:val="000000"/>
        <w:u w:val="single"/>
      </w:rPr>
    </w:lvl>
    <w:lvl w:ilvl="1">
      <w:start w:val="1"/>
      <w:numFmt w:val="decimal"/>
      <w:lvlText w:val="%1.%2."/>
      <w:lvlJc w:val="left"/>
      <w:pPr>
        <w:ind w:left="1078" w:hanging="579"/>
      </w:pPr>
      <w:rPr>
        <w:rFonts w:ascii="Calibri" w:cs="Calibri" w:eastAsia="Calibri" w:hAnsi="Calibri"/>
        <w:b w:val="0"/>
        <w:color w:val="000000"/>
        <w:u w:val="single"/>
      </w:rPr>
    </w:lvl>
    <w:lvl w:ilvl="2">
      <w:start w:val="1"/>
      <w:numFmt w:val="decimal"/>
      <w:lvlText w:val="%1.%2.%3."/>
      <w:lvlJc w:val="left"/>
      <w:pPr>
        <w:ind w:left="1798" w:hanging="720"/>
      </w:pPr>
      <w:rPr>
        <w:rFonts w:ascii="Calibri" w:cs="Calibri" w:eastAsia="Calibri" w:hAnsi="Calibri"/>
        <w:b w:val="0"/>
        <w:color w:val="000000"/>
        <w:u w:val="none"/>
      </w:rPr>
    </w:lvl>
    <w:lvl w:ilvl="3">
      <w:start w:val="1"/>
      <w:numFmt w:val="lowerLetter"/>
      <w:lvlText w:val="(%4)"/>
      <w:lvlJc w:val="left"/>
      <w:pPr>
        <w:ind w:left="2733" w:hanging="935"/>
      </w:pPr>
      <w:rPr>
        <w:rFonts w:ascii="Calibri" w:cs="Calibri" w:eastAsia="Calibri" w:hAnsi="Calibri"/>
        <w:b w:val="0"/>
        <w:color w:val="000000"/>
        <w:u w:val="single"/>
      </w:rPr>
    </w:lvl>
    <w:lvl w:ilvl="4">
      <w:start w:val="1"/>
      <w:numFmt w:val="lowerRoman"/>
      <w:lvlText w:val="(%5)"/>
      <w:lvlJc w:val="left"/>
      <w:pPr>
        <w:ind w:left="3261" w:hanging="566"/>
      </w:pPr>
      <w:rPr>
        <w:rFonts w:ascii="Calibri" w:cs="Calibri" w:eastAsia="Calibri" w:hAnsi="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2"/>
      <w:numFmt w:val="decimal"/>
      <w:lvlText w:val="%1"/>
      <w:lvlJc w:val="left"/>
      <w:pPr>
        <w:ind w:left="600" w:hanging="600"/>
      </w:pPr>
      <w:rPr/>
    </w:lvl>
    <w:lvl w:ilvl="1">
      <w:start w:val="3"/>
      <w:numFmt w:val="decimal"/>
      <w:lvlText w:val="%1.%2"/>
      <w:lvlJc w:val="left"/>
      <w:pPr>
        <w:ind w:left="1199" w:hanging="600"/>
      </w:pPr>
      <w:rPr/>
    </w:lvl>
    <w:lvl w:ilvl="2">
      <w:start w:val="4"/>
      <w:numFmt w:val="decimal"/>
      <w:lvlText w:val="%1.%2.%3"/>
      <w:lvlJc w:val="left"/>
      <w:pPr>
        <w:ind w:left="1918" w:hanging="720"/>
      </w:pPr>
      <w:rPr/>
    </w:lvl>
    <w:lvl w:ilvl="3">
      <w:start w:val="1"/>
      <w:numFmt w:val="decimal"/>
      <w:lvlText w:val="%1.%2.%3.%4"/>
      <w:lvlJc w:val="left"/>
      <w:pPr>
        <w:ind w:left="2517" w:hanging="720"/>
      </w:pPr>
      <w:rPr/>
    </w:lvl>
    <w:lvl w:ilvl="4">
      <w:start w:val="1"/>
      <w:numFmt w:val="decimal"/>
      <w:lvlText w:val="%1.%2.%3.%4.%5"/>
      <w:lvlJc w:val="left"/>
      <w:pPr>
        <w:ind w:left="3476" w:hanging="1080"/>
      </w:pPr>
      <w:rPr/>
    </w:lvl>
    <w:lvl w:ilvl="5">
      <w:start w:val="1"/>
      <w:numFmt w:val="decimal"/>
      <w:lvlText w:val="%1.%2.%3.%4.%5.%6"/>
      <w:lvlJc w:val="left"/>
      <w:pPr>
        <w:ind w:left="4075" w:hanging="1080"/>
      </w:pPr>
      <w:rPr/>
    </w:lvl>
    <w:lvl w:ilvl="6">
      <w:start w:val="1"/>
      <w:numFmt w:val="decimal"/>
      <w:lvlText w:val="%1.%2.%3.%4.%5.%6.%7"/>
      <w:lvlJc w:val="left"/>
      <w:pPr>
        <w:ind w:left="5034" w:hanging="1440"/>
      </w:pPr>
      <w:rPr/>
    </w:lvl>
    <w:lvl w:ilvl="7">
      <w:start w:val="1"/>
      <w:numFmt w:val="decimal"/>
      <w:lvlText w:val="%1.%2.%3.%4.%5.%6.%7.%8"/>
      <w:lvlJc w:val="left"/>
      <w:pPr>
        <w:ind w:left="5633" w:hanging="1440"/>
      </w:pPr>
      <w:rPr/>
    </w:lvl>
    <w:lvl w:ilvl="8">
      <w:start w:val="1"/>
      <w:numFmt w:val="decimal"/>
      <w:lvlText w:val="%1.%2.%3.%4.%5.%6.%7.%8.%9"/>
      <w:lvlJc w:val="left"/>
      <w:pPr>
        <w:ind w:left="6232"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val="1"/>
    <w:unhideWhenUsed w:val="1"/>
    <w:qFormat w:val="1"/>
    <w:pPr>
      <w:tabs>
        <w:tab w:val="num" w:pos="862"/>
      </w:tabs>
      <w:ind w:left="862" w:hanging="720"/>
      <w:outlineLvl w:val="1"/>
    </w:pPr>
    <w:rPr>
      <w:rFonts w:cs="Times New Roman" w:eastAsia="STZhongsong"/>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val="1"/>
    <w:unhideWhenUsed w:val="1"/>
    <w:qFormat w:val="1"/>
    <w:pPr>
      <w:keepNext w:val="1"/>
      <w:spacing w:after="60" w:before="240" w:line="276" w:lineRule="auto"/>
      <w:jc w:val="left"/>
      <w:outlineLvl w:val="2"/>
    </w:pPr>
    <w:rPr>
      <w:rFonts w:ascii="Cambria" w:cs="Times New Roman" w:hAnsi="Cambria"/>
      <w:b w:val="1"/>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val="1"/>
    <w:unhideWhenUsed w:val="1"/>
    <w:qFormat w:val="1"/>
    <w:pPr>
      <w:tabs>
        <w:tab w:val="num" w:pos="2781"/>
      </w:tabs>
      <w:ind w:left="2781" w:hanging="1080"/>
      <w:outlineLvl w:val="3"/>
    </w:pPr>
    <w:rPr>
      <w:rFonts w:cs="Times New Roman" w:eastAsia="STZhongsong"/>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3600"/>
      </w:tabs>
      <w:ind w:left="3600" w:hanging="720"/>
      <w:outlineLvl w:val="4"/>
    </w:pPr>
    <w:rPr>
      <w:rFonts w:cs="Times New Roman" w:eastAsia="STZhongsong"/>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val="1"/>
    <w:unhideWhenUsed w:val="1"/>
    <w:qFormat w:val="1"/>
    <w:pPr>
      <w:tabs>
        <w:tab w:val="num" w:pos="4320"/>
      </w:tabs>
      <w:ind w:left="4320" w:hanging="720"/>
      <w:outlineLvl w:val="5"/>
    </w:pPr>
    <w:rPr>
      <w:rFonts w:cs="Times New Roman" w:eastAsia="STZhongsong"/>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cs="Times New Roman" w:eastAsia="STZhongsong" w:hAnsi="Arial"/>
      <w:sz w:val="20"/>
      <w:szCs w:val="20"/>
      <w:lang w:val="x-none"/>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cs="Times New Roman" w:eastAsia="Times New Roman" w:hAnsi="Cambria"/>
      <w:b w:val="1"/>
      <w:sz w:val="26"/>
      <w:szCs w:val="26"/>
      <w:lang w:val="x-none"/>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cs="Times New Roman" w:eastAsia="STZhongsong" w:hAnsi="Arial"/>
      <w:sz w:val="20"/>
      <w:szCs w:val="20"/>
      <w:lang w:val="x-none"/>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cs="Times New Roman" w:eastAsia="STZhongsong" w:hAnsi="Arial"/>
      <w:sz w:val="20"/>
      <w:szCs w:val="20"/>
      <w:lang w:val="x-none"/>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cs="Times New Roman" w:eastAsia="STZhongsong" w:hAnsi="Arial"/>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ascii="Calibri" w:cs="Arial" w:hAnsi="Calibri"/>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ascii="Calibri" w:cs="Arial" w:hAnsi="Calibri"/>
    </w:rPr>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uiPriority w:val="99"/>
    <w:qFormat w:val="1"/>
    <w:p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numPr>
        <w:ilvl w:val="1"/>
        <w:numId w:val="5"/>
      </w:numPr>
      <w:tabs>
        <w:tab w:val="left" w:pos="1134"/>
      </w:tabs>
      <w:spacing w:after="120" w:before="120"/>
    </w:pPr>
  </w:style>
  <w:style w:type="paragraph" w:styleId="GPSL3numberedclause" w:customStyle="1">
    <w:name w:val="GPS L3 numbered clause"/>
    <w:basedOn w:val="Normal"/>
    <w:qFormat w:val="1"/>
    <w:pPr>
      <w:numPr>
        <w:ilvl w:val="2"/>
        <w:numId w:val="5"/>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s>
    </w:pPr>
  </w:style>
  <w:style w:type="character" w:styleId="GPSL2numberedclauseChar1" w:customStyle="1">
    <w:name w:val="GPS L2 numbered clause Char1"/>
    <w:rPr>
      <w:rFonts w:ascii="Calibri" w:hAnsi="Calibri"/>
      <w:lang w:val="x-none"/>
    </w:rPr>
  </w:style>
  <w:style w:type="character" w:styleId="GPSL3numberedclauseChar" w:customStyle="1">
    <w:name w:val="GPS L3 numbered clause Char"/>
    <w:rPr>
      <w:rFonts w:ascii="Calibri" w:hAnsi="Calibri"/>
      <w:lang w:val="x-none"/>
    </w:rPr>
  </w:style>
  <w:style w:type="character" w:styleId="GPSL4numberedclauseChar" w:customStyle="1">
    <w:name w:val="GPS L4 numbered clause Char"/>
    <w:rPr>
      <w:rFonts w:ascii="Calibri" w:hAnsi="Calibri"/>
      <w:lang w:val="x-none"/>
    </w:rPr>
  </w:style>
  <w:style w:type="paragraph" w:styleId="GPSL5numberedclause" w:customStyle="1">
    <w:name w:val="GPS L5 numbered clause"/>
    <w:basedOn w:val="GPSL4numberedclause"/>
    <w:qFormat w:val="1"/>
    <w:pPr>
      <w:numPr>
        <w:ilvl w:val="4"/>
      </w:numPr>
    </w:pPr>
  </w:style>
  <w:style w:type="paragraph" w:styleId="GPSL6numbered" w:customStyle="1">
    <w:name w:val="GPS L6 numbered"/>
    <w:basedOn w:val="GPSL5numberedclause"/>
    <w:uiPriority w:val="99"/>
    <w:qFormat w:val="1"/>
    <w:pPr>
      <w:numPr>
        <w:ilvl w:val="0"/>
        <w:numId w:val="0"/>
      </w:numPr>
      <w:tabs>
        <w:tab w:val="left" w:pos="3686"/>
      </w:tabs>
    </w:p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lang w:val="x-none"/>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L1SCHEDULEHeading" w:customStyle="1">
    <w:name w:val="GPS L1 SCHEDULE Heading"/>
    <w:basedOn w:val="GPSL1CLAUSEHEADING"/>
    <w:qFormat w:val="1"/>
    <w:pPr>
      <w:outlineLvl w:val="9"/>
    </w:pPr>
  </w:style>
  <w:style w:type="character" w:styleId="GPSL1SCHEDULEHeadingChar" w:customStyle="1">
    <w:name w:val="GPS L1 SCHEDULE Heading Char"/>
    <w:rPr>
      <w:rFonts w:ascii="Calibri" w:eastAsia="STZhongsong" w:hAnsi="Calibri"/>
      <w:b w:val="1"/>
      <w:caps w:val="1"/>
      <w:lang w:val="x-none"/>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cs="Tahoma" w:hAnsi="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ascii="Calibri" w:cs="Arial" w:hAnsi="Calibri"/>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ascii="Calibri" w:cs="Arial" w:hAnsi="Calibri"/>
      <w:b w:val="1"/>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val="1"/>
    <w:uiPriority w:val="99"/>
    <w:pPr>
      <w:autoSpaceDE w:val="0"/>
      <w:autoSpaceDN w:val="0"/>
      <w:adjustRightInd w:val="0"/>
    </w:pPr>
    <w:rPr>
      <w:rFonts w:ascii="Arial" w:cs="Arial" w:hAnsi="Arial"/>
    </w:rPr>
  </w:style>
  <w:style w:type="character" w:styleId="Heading1Char1" w:customStyle="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cs="Times New Roman" w:eastAsia="Times New Roman" w:hAnsi="Cambria"/>
      <w:b w:val="1"/>
      <w:kern w:val="32"/>
      <w:sz w:val="32"/>
      <w:szCs w:val="32"/>
      <w:lang w:val="x-none"/>
    </w:rPr>
  </w:style>
  <w:style w:type="paragraph" w:styleId="GPSL2NumberedBoldHeading" w:customStyle="1">
    <w:name w:val="GPS L2 Numbered Bold Heading"/>
    <w:basedOn w:val="Normal"/>
    <w:qFormat w:val="1"/>
    <w:pPr>
      <w:tabs>
        <w:tab w:val="left" w:pos="1134"/>
      </w:tabs>
      <w:spacing w:after="120" w:before="120"/>
    </w:pPr>
    <w:rPr>
      <w:b w:val="1"/>
    </w:rPr>
  </w:style>
  <w:style w:type="paragraph" w:styleId="GPSL2Numbered" w:customStyle="1">
    <w:name w:val="GPS L2 Numbered"/>
    <w:basedOn w:val="GPSL2NumberedBoldHeading"/>
    <w:qFormat w:val="1"/>
    <w:pPr>
      <w:tabs>
        <w:tab w:val="clear" w:pos="1134"/>
      </w:tabs>
    </w:pPr>
    <w:rPr>
      <w:b w:val="0"/>
    </w:rPr>
  </w:style>
  <w:style w:type="character" w:styleId="GPSL2NumberedChar" w:customStyle="1">
    <w:name w:val="GPS L2 Numbered Char"/>
    <w:rPr>
      <w:rFonts w:ascii="Calibri" w:hAnsi="Calibri"/>
      <w:lang w:val="x-none"/>
    </w:rPr>
  </w:style>
  <w:style w:type="character" w:styleId="Emphasis">
    <w:name w:val="Emphasis"/>
    <w:uiPriority w:val="20"/>
    <w:qFormat w:val="1"/>
    <w:rPr>
      <w:rFonts w:cs="Times New Roman"/>
      <w:i w:val="1"/>
    </w:rPr>
  </w:style>
  <w:style w:type="character" w:styleId="GPSL1CLAUSEHEADINGChar" w:customStyle="1">
    <w:name w:val="GPS L1 CLAUSE HEADING Char"/>
    <w:uiPriority w:val="99"/>
    <w:rPr>
      <w:rFonts w:ascii="Calibri" w:eastAsia="STZhongsong" w:hAnsi="Calibri"/>
      <w:b w:val="1"/>
      <w:caps w:val="1"/>
      <w:lang w:val="x-none"/>
    </w:rPr>
  </w:style>
  <w:style w:type="character" w:styleId="GPSL2NumberedBoldHeadingChar" w:customStyle="1">
    <w:name w:val="GPS L2 Numbered Bold Heading Char"/>
    <w:rPr>
      <w:rFonts w:ascii="Calibri" w:hAnsi="Calibri"/>
      <w:b w:val="1"/>
      <w:lang w:val="x-none"/>
    </w:rPr>
  </w:style>
  <w:style w:type="character" w:styleId="GPSL5numberedclauseChar" w:customStyle="1">
    <w:name w:val="GPS L5 numbered clause Char"/>
    <w:rPr>
      <w:rFonts w:ascii="Calibri" w:hAnsi="Calibri"/>
      <w:lang w:val="x-none"/>
    </w:rPr>
  </w:style>
  <w:style w:type="paragraph" w:styleId="Normal1" w:customStyle="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val="1"/>
    <w:pPr>
      <w:ind w:left="720"/>
      <w:contextualSpacing w:val="1"/>
    </w:pPr>
  </w:style>
  <w:style w:type="paragraph" w:styleId="BodyText">
    <w:name w:val="Body Text"/>
    <w:basedOn w:val="Normal"/>
    <w:next w:val="GPSmacrorestart"/>
    <w:link w:val="BodyTextChar"/>
    <w:uiPriority w:val="99"/>
    <w:pPr>
      <w:spacing w:after="0"/>
      <w:jc w:val="left"/>
    </w:pPr>
    <w:rPr>
      <w:rFonts w:ascii="Times New Roman" w:cs="Times New Roman" w:hAnsi="Times New Roman"/>
      <w:sz w:val="18"/>
      <w:szCs w:val="24"/>
      <w:lang w:val="en-US"/>
    </w:rPr>
  </w:style>
  <w:style w:type="character" w:styleId="BodyTextChar" w:customStyle="1">
    <w:name w:val="Body Text Char"/>
    <w:link w:val="BodyText"/>
    <w:uiPriority w:val="99"/>
    <w:semiHidden w:val="1"/>
    <w:rPr>
      <w:rFonts w:ascii="Calibri" w:cs="Arial" w:hAnsi="Calibri"/>
    </w:rPr>
  </w:style>
  <w:style w:type="paragraph" w:styleId="DocumentMap">
    <w:name w:val="Document Map"/>
    <w:basedOn w:val="Normal"/>
    <w:next w:val="GPSL5numberedclause"/>
    <w:link w:val="DocumentMapChar"/>
    <w:uiPriority w:val="99"/>
    <w:pPr>
      <w:shd w:color="auto" w:fill="000080" w:val="clear"/>
      <w:spacing w:after="0"/>
      <w:jc w:val="left"/>
    </w:pPr>
    <w:rPr>
      <w:rFonts w:ascii="Tahoma" w:cs="Times New Roman" w:hAnsi="Tahoma"/>
      <w:sz w:val="24"/>
      <w:szCs w:val="24"/>
      <w:lang w:val="en-US"/>
    </w:rPr>
  </w:style>
  <w:style w:type="character" w:styleId="DocumentMapChar" w:customStyle="1">
    <w:name w:val="Document Map Char"/>
    <w:link w:val="DocumentMap"/>
    <w:uiPriority w:val="99"/>
    <w:semiHidden w:val="1"/>
    <w:rPr>
      <w:rFonts w:ascii="Tahoma" w:cs="Tahoma" w:hAnsi="Tahoma"/>
      <w:sz w:val="16"/>
      <w:szCs w:val="1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o9WqOiv/yX1Rf3T5wP6KidPuwA==">CgMxLjAyDmguOWF4aHFpaGtpOTdhMghoLmdqZGd4czIJaC4zMGowemxsMgloLjFmb2I5dGUyCWguM3pueXNoNzIJaC4yZXQ5MnAwMghoLnR5amN3dDIJaC4zZHk2dmttMgloLjF0M2g1c2Y4AHIhMWhEbks4WFEyOExfU3YwSldEQ091VjhRUVlROU1rU09C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2022-09-23T00:02:00Z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